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C4" w:rsidRDefault="006F5F0B">
      <w:r>
        <w:t>Government of Pakistan</w:t>
      </w:r>
      <w:r>
        <w:br/>
        <w:t>Ministry of Energy (Power Division)</w:t>
      </w:r>
    </w:p>
    <w:p w:rsidR="00695DC4" w:rsidRDefault="006F5F0B">
      <w:r>
        <w:t>National Energy Efficiency &amp; Conservation Authority (NEECA)</w:t>
      </w:r>
    </w:p>
    <w:p w:rsidR="00695DC4" w:rsidRDefault="00695DC4"/>
    <w:p w:rsidR="00695DC4" w:rsidRDefault="006F5F0B">
      <w:pPr>
        <w:rPr>
          <w:b/>
        </w:rPr>
      </w:pPr>
      <w:r>
        <w:rPr>
          <w:b/>
        </w:rPr>
        <w:t>Request for Proposal (RFP): Hiring of a Communication/Market Research Firm for Message Testing on Energy Efficiency and Conservation</w:t>
      </w:r>
    </w:p>
    <w:p w:rsidR="00695DC4" w:rsidRDefault="00695DC4"/>
    <w:p w:rsidR="00695DC4" w:rsidRDefault="006F5F0B">
      <w:pPr>
        <w:rPr>
          <w:b/>
          <w:u w:val="single"/>
        </w:rPr>
      </w:pPr>
      <w:r>
        <w:rPr>
          <w:b/>
          <w:u w:val="single"/>
        </w:rPr>
        <w:t>1. Introduction</w:t>
      </w:r>
    </w:p>
    <w:p w:rsidR="00695DC4" w:rsidRDefault="00695DC4"/>
    <w:p w:rsidR="00695DC4" w:rsidRDefault="006F5F0B">
      <w:r>
        <w:t>The National Energy Efficiency &amp; Conservation Authority (NEECA), established under the NEECA Act 2016 and operating under the Ministry of Energy (Power Division), Government of Pakistan, serves as the national focal body for driving the ag</w:t>
      </w:r>
      <w:r>
        <w:t>enda of energy efficiency and conservation (EE&amp;C) across all sectors of the economy.</w:t>
      </w:r>
      <w:r>
        <w:br/>
      </w:r>
      <w:r>
        <w:br/>
        <w:t>As Pakistan continues to grapple with growing energy demand, environmental vulnerability, and financial constraints in the power sector, the role of behavior change and p</w:t>
      </w:r>
      <w:r>
        <w:t>ublic awareness in advancing EE&amp;C has become increasingly critical. However, energy efficiency and conservation, despite their technical importance, often suffer from a lack of visibility, emotional resonance, and public engagement. Global and local experi</w:t>
      </w:r>
      <w:r>
        <w:t xml:space="preserve">ence shows that while cost savings </w:t>
      </w:r>
      <w:proofErr w:type="gramStart"/>
      <w:r>
        <w:t>are</w:t>
      </w:r>
      <w:proofErr w:type="gramEnd"/>
      <w:r>
        <w:t xml:space="preserve"> important, they are rarely sufficient on their own to motivate wide-scale changes in consumer behavior.</w:t>
      </w:r>
      <w:r>
        <w:br/>
      </w:r>
      <w:r>
        <w:br/>
        <w:t>It is therefore imperative to better understand what kinds of messages resonate with Pakistani audiences, especi</w:t>
      </w:r>
      <w:r>
        <w:t>ally in a context marked by urban-rural disparities, energy insecurity, and varying levels of trust in institutions. Behavioral motivators such as health, comfort, safety, pride, environmental responsibility, and social norms may offer more powerful levers</w:t>
      </w:r>
      <w:r>
        <w:t xml:space="preserve"> for change, but these must be rigorously tested and validated. </w:t>
      </w:r>
      <w:r>
        <w:br/>
      </w:r>
      <w:r>
        <w:br/>
        <w:t>In this regard, NEECA intends to hire a consultancy firm to conduct targeted message testing related to energy efficiency and conservation. This activity will guide the Authority’s future ou</w:t>
      </w:r>
      <w:r>
        <w:t>treach and communication campaigns and ensure that public messaging efforts are grounded in empirical evidence, responsive to citizen perspectives, and tailored to diverse audience segments across the country.</w:t>
      </w:r>
    </w:p>
    <w:p w:rsidR="00695DC4" w:rsidRDefault="00695DC4"/>
    <w:p w:rsidR="00695DC4" w:rsidRDefault="006F5F0B">
      <w:r>
        <w:t>This assignment contributes to NEECA’s broade</w:t>
      </w:r>
      <w:r>
        <w:t>r communications and behavior change agenda outlined in our [</w:t>
      </w:r>
      <w:proofErr w:type="spellStart"/>
      <w:r>
        <w:t>JagMag</w:t>
      </w:r>
      <w:proofErr w:type="spellEnd"/>
      <w:r>
        <w:t xml:space="preserve"> 2.0] </w:t>
      </w:r>
      <w:proofErr w:type="spellStart"/>
      <w:r>
        <w:t>comms</w:t>
      </w:r>
      <w:proofErr w:type="spellEnd"/>
      <w:r>
        <w:t xml:space="preserve"> strategy, which emphasizes evidence-based public engagement. The insights generated will directly inform future campaigns, policy framing, and multi-</w:t>
      </w:r>
      <w:proofErr w:type="spellStart"/>
      <w:r>
        <w:t>sectoral</w:t>
      </w:r>
      <w:proofErr w:type="spellEnd"/>
      <w:r>
        <w:t xml:space="preserve"> partnerships on ene</w:t>
      </w:r>
      <w:r>
        <w:t>rgy efficiency and conservation.</w:t>
      </w:r>
      <w:r>
        <w:br/>
      </w:r>
    </w:p>
    <w:p w:rsidR="00695DC4" w:rsidRDefault="006F5F0B">
      <w:pPr>
        <w:rPr>
          <w:b/>
          <w:u w:val="single"/>
        </w:rPr>
      </w:pPr>
      <w:r>
        <w:rPr>
          <w:b/>
          <w:u w:val="single"/>
        </w:rPr>
        <w:t>2. Objective of the Assignment</w:t>
      </w:r>
    </w:p>
    <w:p w:rsidR="00695DC4" w:rsidRDefault="00695DC4"/>
    <w:p w:rsidR="00695DC4" w:rsidRDefault="006F5F0B">
      <w:r>
        <w:t>The primary objective of the assignment is to design and execute a message testing exercise that helps NEECA identify the following</w:t>
      </w:r>
      <w:proofErr w:type="gramStart"/>
      <w:r>
        <w:t>:</w:t>
      </w:r>
      <w:proofErr w:type="gramEnd"/>
      <w:r>
        <w:br/>
      </w:r>
      <w:r>
        <w:br/>
      </w:r>
      <w:r>
        <w:lastRenderedPageBreak/>
        <w:t>1. What types of messages, in both content and format, a</w:t>
      </w:r>
      <w:r>
        <w:t>re most likely to influence positive attitudes and behaviors related to energy efficiency and conservation</w:t>
      </w:r>
      <w:r>
        <w:br/>
      </w:r>
    </w:p>
    <w:p w:rsidR="00695DC4" w:rsidRDefault="006F5F0B">
      <w:r>
        <w:t>2. Which emotional and behavioral drivers (e.g., safety, pride, aspiration, environmental concern, family wellbeing) have the strongest impact acros</w:t>
      </w:r>
      <w:r>
        <w:t>s different audience segments</w:t>
      </w:r>
      <w:r>
        <w:br/>
      </w:r>
      <w:proofErr w:type="gramStart"/>
      <w:r>
        <w:t>3.</w:t>
      </w:r>
      <w:proofErr w:type="gramEnd"/>
      <w:r>
        <w:t xml:space="preserve"> How different demographics (e.g., urban vs. rural, age groups, gender, socio-economic categories) respond to various messaging approaches</w:t>
      </w:r>
      <w:r>
        <w:br/>
      </w:r>
    </w:p>
    <w:p w:rsidR="00695DC4" w:rsidRDefault="006F5F0B">
      <w:r>
        <w:t>4. Which platforms and formats (text, graphic, audio, digital) are most effective fo</w:t>
      </w:r>
      <w:r>
        <w:t xml:space="preserve">r communicating EE&amp;C concepts in the Pakistani </w:t>
      </w:r>
      <w:proofErr w:type="gramStart"/>
      <w:r>
        <w:t>context</w:t>
      </w:r>
      <w:proofErr w:type="gramEnd"/>
      <w:r>
        <w:br/>
      </w:r>
    </w:p>
    <w:p w:rsidR="00695DC4" w:rsidRDefault="006F5F0B">
      <w:r>
        <w:t>In addition to public engagement, the assignment is also expected to inform how NEECA can better communicate the importance of energy efficiency and conservation to legislators, policymakers, and seni</w:t>
      </w:r>
      <w:r>
        <w:t>or decision-makers who influence budgetary and regulatory priorities.</w:t>
      </w:r>
    </w:p>
    <w:p w:rsidR="00695DC4" w:rsidRDefault="00695DC4"/>
    <w:p w:rsidR="00695DC4" w:rsidRDefault="006F5F0B">
      <w:r>
        <w:t xml:space="preserve">This exercise will support NEECA’s strategic aim to develop a data-informed, culturally relevant, and demographically segmented communications approach to promote energy efficiency and </w:t>
      </w:r>
      <w:r>
        <w:t xml:space="preserve">conservation at the national level. This assignment also aims to demonstrate the effectiveness of empirically grounded communication strategies over intuition-led approaches, thereby positioning NEECA as a knowledge-driven authority in behavior change for </w:t>
      </w:r>
      <w:r>
        <w:t>energy policy.</w:t>
      </w:r>
      <w:r>
        <w:br/>
      </w:r>
    </w:p>
    <w:p w:rsidR="00695DC4" w:rsidRDefault="006F5F0B">
      <w:pPr>
        <w:spacing w:after="200"/>
        <w:rPr>
          <w:b/>
          <w:u w:val="single"/>
        </w:rPr>
      </w:pPr>
      <w:r>
        <w:rPr>
          <w:b/>
          <w:u w:val="single"/>
        </w:rPr>
        <w:t>3. Deliverables</w:t>
      </w:r>
    </w:p>
    <w:p w:rsidR="00695DC4" w:rsidRDefault="006F5F0B">
      <w:pPr>
        <w:spacing w:after="200"/>
      </w:pPr>
      <w:r>
        <w:t>The selected firm shall be responsible for delivering the following</w:t>
      </w:r>
      <w:proofErr w:type="gramStart"/>
      <w:r>
        <w:t>:</w:t>
      </w:r>
      <w:proofErr w:type="gramEnd"/>
      <w:r>
        <w:br/>
      </w:r>
      <w:r>
        <w:br/>
        <w:t>1. Inception Report</w:t>
      </w:r>
    </w:p>
    <w:p w:rsidR="00695DC4" w:rsidRDefault="006F5F0B">
      <w:pPr>
        <w:spacing w:after="200"/>
      </w:pPr>
      <w:r>
        <w:t>A detailed document outlining the firm’s understanding of the assignment, refined methodology, demographic targeting strategy, message</w:t>
      </w:r>
      <w:r>
        <w:t xml:space="preserve"> formats to be tested, timeline, and risks/mitigation.</w:t>
      </w:r>
      <w:r>
        <w:br/>
      </w:r>
      <w:r>
        <w:br/>
        <w:t>2. Message Variant Pack</w:t>
      </w:r>
    </w:p>
    <w:p w:rsidR="00695DC4" w:rsidRDefault="006F5F0B">
      <w:pPr>
        <w:spacing w:after="200"/>
      </w:pPr>
      <w:r>
        <w:t>At least three (3) tested message variants in both English and Urdu for each of the following format:</w:t>
      </w:r>
    </w:p>
    <w:p w:rsidR="00695DC4" w:rsidRDefault="006F5F0B">
      <w:pPr>
        <w:numPr>
          <w:ilvl w:val="0"/>
          <w:numId w:val="4"/>
        </w:numPr>
      </w:pPr>
      <w:r>
        <w:t>Short-form text (social copy, taglines, radio PSA copy)</w:t>
      </w:r>
    </w:p>
    <w:p w:rsidR="00695DC4" w:rsidRDefault="006F5F0B">
      <w:pPr>
        <w:numPr>
          <w:ilvl w:val="1"/>
          <w:numId w:val="4"/>
        </w:numPr>
      </w:pPr>
      <w:r>
        <w:t xml:space="preserve">Visual posters or </w:t>
      </w:r>
      <w:proofErr w:type="spellStart"/>
      <w:r>
        <w:t>infographics</w:t>
      </w:r>
      <w:proofErr w:type="spellEnd"/>
    </w:p>
    <w:p w:rsidR="00695DC4" w:rsidRDefault="006F5F0B">
      <w:pPr>
        <w:numPr>
          <w:ilvl w:val="1"/>
          <w:numId w:val="4"/>
        </w:numPr>
        <w:spacing w:after="200"/>
      </w:pPr>
      <w:r>
        <w:t>Script outlines for short videos or digital public service messages</w:t>
      </w:r>
    </w:p>
    <w:p w:rsidR="00695DC4" w:rsidRDefault="006F5F0B">
      <w:pPr>
        <w:spacing w:after="200"/>
      </w:pPr>
      <w:r>
        <w:t>3. Message Testing Implementation</w:t>
      </w:r>
    </w:p>
    <w:p w:rsidR="00695DC4" w:rsidRDefault="006F5F0B">
      <w:pPr>
        <w:numPr>
          <w:ilvl w:val="0"/>
          <w:numId w:val="4"/>
        </w:numPr>
        <w:spacing w:after="200"/>
      </w:pPr>
      <w:r>
        <w:t>Execution of message testing activities as per the approved work plan, including data collection from at least 500 respondents,</w:t>
      </w:r>
      <w:r>
        <w:t xml:space="preserve"> disaggregated by key demographics. This must include segment targeting, testing methods, and reporting on both response data and platform engagement metrics (e.g., impressions, clicks, completion rates) to help evaluate message visibility and impact.</w:t>
      </w:r>
    </w:p>
    <w:p w:rsidR="00695DC4" w:rsidRDefault="006F5F0B">
      <w:pPr>
        <w:spacing w:after="200"/>
        <w:rPr>
          <w:i/>
        </w:rPr>
      </w:pPr>
      <w:r>
        <w:rPr>
          <w:i/>
        </w:rPr>
        <w:lastRenderedPageBreak/>
        <w:t>4. C</w:t>
      </w:r>
      <w:r>
        <w:rPr>
          <w:i/>
        </w:rPr>
        <w:t>omprehensive Final Reports</w:t>
      </w:r>
    </w:p>
    <w:p w:rsidR="00695DC4" w:rsidRDefault="006F5F0B">
      <w:pPr>
        <w:numPr>
          <w:ilvl w:val="0"/>
          <w:numId w:val="7"/>
        </w:numPr>
      </w:pPr>
      <w:r>
        <w:t>A targeted policy brief for senior decision-makers summarizing key motivators, message resonance insights, and implications for national-level EE&amp;C policy design and resource allocation.</w:t>
      </w:r>
    </w:p>
    <w:p w:rsidR="00695DC4" w:rsidRDefault="006F5F0B">
      <w:pPr>
        <w:numPr>
          <w:ilvl w:val="0"/>
          <w:numId w:val="7"/>
        </w:numPr>
      </w:pPr>
      <w:r>
        <w:t xml:space="preserve">A structured report, written in clear and </w:t>
      </w:r>
      <w:r>
        <w:t>accessible language, suitable for both internal and public use, that includes:</w:t>
      </w:r>
    </w:p>
    <w:p w:rsidR="00695DC4" w:rsidRDefault="006F5F0B">
      <w:pPr>
        <w:numPr>
          <w:ilvl w:val="1"/>
          <w:numId w:val="7"/>
        </w:numPr>
      </w:pPr>
      <w:r>
        <w:t>Executive summary of insights</w:t>
      </w:r>
    </w:p>
    <w:p w:rsidR="00695DC4" w:rsidRDefault="006F5F0B">
      <w:pPr>
        <w:numPr>
          <w:ilvl w:val="1"/>
          <w:numId w:val="7"/>
        </w:numPr>
      </w:pPr>
      <w:r>
        <w:t>Audience segment profiles and motivators</w:t>
      </w:r>
    </w:p>
    <w:p w:rsidR="00695DC4" w:rsidRDefault="006F5F0B">
      <w:pPr>
        <w:numPr>
          <w:ilvl w:val="1"/>
          <w:numId w:val="7"/>
        </w:numPr>
      </w:pPr>
      <w:r>
        <w:t>Message performance data by demographic, region, and format</w:t>
      </w:r>
    </w:p>
    <w:p w:rsidR="00695DC4" w:rsidRDefault="006F5F0B">
      <w:pPr>
        <w:numPr>
          <w:ilvl w:val="1"/>
          <w:numId w:val="7"/>
        </w:numPr>
      </w:pPr>
      <w:r>
        <w:t>Recommendations for content development, platf</w:t>
      </w:r>
      <w:r>
        <w:t>orm targeting, campaign strategy, and policy-facing communications for legislators and decision-makers.</w:t>
      </w:r>
    </w:p>
    <w:p w:rsidR="00695DC4" w:rsidRDefault="006F5F0B">
      <w:pPr>
        <w:numPr>
          <w:ilvl w:val="1"/>
          <w:numId w:val="7"/>
        </w:numPr>
        <w:spacing w:after="200"/>
      </w:pPr>
      <w:r>
        <w:t xml:space="preserve">Use of </w:t>
      </w:r>
      <w:proofErr w:type="spellStart"/>
      <w:r>
        <w:t>infographics</w:t>
      </w:r>
      <w:proofErr w:type="spellEnd"/>
      <w:r>
        <w:t>, charts, and visuals where appropriate</w:t>
      </w:r>
    </w:p>
    <w:p w:rsidR="00695DC4" w:rsidRDefault="006F5F0B">
      <w:pPr>
        <w:spacing w:after="200"/>
        <w:rPr>
          <w:i/>
        </w:rPr>
      </w:pPr>
      <w:r>
        <w:rPr>
          <w:i/>
        </w:rPr>
        <w:t>5. Knowledge Product (Public Resource Version)</w:t>
      </w:r>
    </w:p>
    <w:p w:rsidR="00695DC4" w:rsidRDefault="006F5F0B">
      <w:pPr>
        <w:numPr>
          <w:ilvl w:val="0"/>
          <w:numId w:val="2"/>
        </w:numPr>
      </w:pPr>
      <w:r>
        <w:t>A condensed version of the final report design</w:t>
      </w:r>
      <w:r>
        <w:t>ed as a policy knowledge product, formatted and written for broader sharing with:</w:t>
      </w:r>
    </w:p>
    <w:p w:rsidR="00695DC4" w:rsidRDefault="006F5F0B">
      <w:pPr>
        <w:numPr>
          <w:ilvl w:val="1"/>
          <w:numId w:val="2"/>
        </w:numPr>
      </w:pPr>
      <w:r>
        <w:t>Policymakers, regulators, and development partners</w:t>
      </w:r>
    </w:p>
    <w:p w:rsidR="00695DC4" w:rsidRDefault="006F5F0B">
      <w:pPr>
        <w:numPr>
          <w:ilvl w:val="1"/>
          <w:numId w:val="2"/>
        </w:numPr>
      </w:pPr>
      <w:r>
        <w:t>NGOs, think tanks, and academic partners</w:t>
      </w:r>
    </w:p>
    <w:p w:rsidR="00695DC4" w:rsidRDefault="006F5F0B">
      <w:pPr>
        <w:numPr>
          <w:ilvl w:val="1"/>
          <w:numId w:val="2"/>
        </w:numPr>
        <w:spacing w:after="200"/>
      </w:pPr>
      <w:r>
        <w:t>Media professionals and campaign implementers</w:t>
      </w:r>
    </w:p>
    <w:p w:rsidR="00695DC4" w:rsidRDefault="006F5F0B">
      <w:pPr>
        <w:spacing w:after="200"/>
        <w:rPr>
          <w:i/>
        </w:rPr>
      </w:pPr>
      <w:r>
        <w:t>This version should include NEECA br</w:t>
      </w:r>
      <w:r>
        <w:t>anding, approved visuals, and be shareable as a downloadable PDF or web-ready publication.</w:t>
      </w:r>
      <w:r>
        <w:br/>
      </w:r>
      <w:r>
        <w:br/>
      </w:r>
      <w:r>
        <w:rPr>
          <w:i/>
        </w:rPr>
        <w:t>6. Creative Asset Archive</w:t>
      </w:r>
    </w:p>
    <w:p w:rsidR="00695DC4" w:rsidRDefault="006F5F0B">
      <w:pPr>
        <w:spacing w:after="200"/>
        <w:rPr>
          <w:i/>
        </w:rPr>
      </w:pPr>
      <w:r>
        <w:t>Transfer of all message variants, testing data (raw and cleaned formats), graphic files, and editable templates for future NEECA use.</w:t>
      </w:r>
      <w:r>
        <w:br/>
      </w:r>
      <w:r>
        <w:br/>
      </w:r>
      <w:r>
        <w:rPr>
          <w:i/>
        </w:rPr>
        <w:t xml:space="preserve">7. </w:t>
      </w:r>
      <w:r>
        <w:rPr>
          <w:i/>
        </w:rPr>
        <w:t>Presentation to NEECA and Stakeholders</w:t>
      </w:r>
    </w:p>
    <w:p w:rsidR="00695DC4" w:rsidRDefault="006F5F0B">
      <w:pPr>
        <w:spacing w:after="200"/>
      </w:pPr>
      <w:r>
        <w:t>The selected firm will present findings to NEECA leadership and relevant stakeholders. If deemed strategic by NEECA, a public-facing webinar or policy roundtable will be organized in partnership with development partn</w:t>
      </w:r>
      <w:r>
        <w:t>ers or government entities to disseminate findings and advocate for behavior-driven EE&amp;C policy and communications.</w:t>
      </w:r>
      <w:r>
        <w:br/>
      </w:r>
      <w:r>
        <w:br/>
        <w:t>In addition, the following value-added outputs are also expected:</w:t>
      </w:r>
    </w:p>
    <w:p w:rsidR="00695DC4" w:rsidRDefault="006F5F0B">
      <w:pPr>
        <w:numPr>
          <w:ilvl w:val="0"/>
          <w:numId w:val="1"/>
        </w:numPr>
      </w:pPr>
      <w:r>
        <w:t>Message Testing Toolkit:  A simple internal “how-to” guide or modular too</w:t>
      </w:r>
      <w:r>
        <w:t xml:space="preserve">lkit that documents the message testing process used in this assignment, allowing for adaptation and reuse by NEECA or its provincial and </w:t>
      </w:r>
      <w:proofErr w:type="spellStart"/>
      <w:r>
        <w:t>sectoral</w:t>
      </w:r>
      <w:proofErr w:type="spellEnd"/>
      <w:r>
        <w:t xml:space="preserve"> partners in future campaigns.</w:t>
      </w:r>
      <w:r>
        <w:br/>
      </w:r>
    </w:p>
    <w:p w:rsidR="00695DC4" w:rsidRDefault="006F5F0B">
      <w:pPr>
        <w:numPr>
          <w:ilvl w:val="0"/>
          <w:numId w:val="1"/>
        </w:numPr>
      </w:pPr>
      <w:r>
        <w:t xml:space="preserve">Data Stories or </w:t>
      </w:r>
      <w:proofErr w:type="spellStart"/>
      <w:r>
        <w:t>Caselets</w:t>
      </w:r>
      <w:proofErr w:type="spellEnd"/>
      <w:r>
        <w:t xml:space="preserve">: Development of 2–3 short narrative vignettes, </w:t>
      </w:r>
      <w:proofErr w:type="spellStart"/>
      <w:r>
        <w:t>infogr</w:t>
      </w:r>
      <w:r>
        <w:t>aphics</w:t>
      </w:r>
      <w:proofErr w:type="spellEnd"/>
      <w:r>
        <w:t xml:space="preserve">, or digital stories highlighting interesting patterns or surprising findings from the message testing process. These may be used in presentations, advocacy materials, or as </w:t>
      </w:r>
      <w:r>
        <w:lastRenderedPageBreak/>
        <w:t>standalone communication pieces. These narrative insights may be used to inf</w:t>
      </w:r>
      <w:r>
        <w:t>orm storytelling across ministries or for NEECA’s institutional visibility campaigns, highlighting surprising findings and local behavioral insights in a relatable, citizen-centric format.</w:t>
      </w:r>
      <w:r>
        <w:br/>
      </w:r>
    </w:p>
    <w:p w:rsidR="00695DC4" w:rsidRDefault="006F5F0B">
      <w:pPr>
        <w:numPr>
          <w:ilvl w:val="0"/>
          <w:numId w:val="1"/>
        </w:numPr>
        <w:spacing w:after="200"/>
      </w:pPr>
      <w:r>
        <w:t>Creative Application Concepts: For each of the top-performing mess</w:t>
      </w:r>
      <w:r>
        <w:t>age variants, the firm will provide a sample campaign concept demonstrating how it could be applied in real-world content (e.g., mock-ups of print ads, social media posts, or PSA scripts).</w:t>
      </w:r>
    </w:p>
    <w:p w:rsidR="00695DC4" w:rsidRDefault="006F5F0B">
      <w:pPr>
        <w:rPr>
          <w:b/>
          <w:u w:val="single"/>
        </w:rPr>
      </w:pPr>
      <w:r>
        <w:rPr>
          <w:b/>
          <w:u w:val="single"/>
        </w:rPr>
        <w:t>4. Scope of Work</w:t>
      </w:r>
    </w:p>
    <w:p w:rsidR="00695DC4" w:rsidRDefault="006F5F0B">
      <w:r>
        <w:br/>
        <w:t>The selected firm will be expected to undertake t</w:t>
      </w:r>
      <w:r>
        <w:t>he following tasks</w:t>
      </w:r>
      <w:proofErr w:type="gramStart"/>
      <w:r>
        <w:t>:</w:t>
      </w:r>
      <w:proofErr w:type="gramEnd"/>
      <w:r>
        <w:br/>
      </w:r>
      <w:r>
        <w:br/>
        <w:t xml:space="preserve">1. The firm shall thoughtfully design and develop message variants in both English and Urdu, and in various formats including short-form text (e.g., taglines, hooks), posters or </w:t>
      </w:r>
      <w:proofErr w:type="spellStart"/>
      <w:r>
        <w:t>infographics</w:t>
      </w:r>
      <w:proofErr w:type="spellEnd"/>
      <w:r>
        <w:t>, and short video or radio concepts. All mess</w:t>
      </w:r>
      <w:r>
        <w:t>ages should relate to the overarching themes of energy efficiency and conservation, and seek to explore motivational drivers such as convenience, national pride, environmental concern, safety, comfort, and health.</w:t>
      </w:r>
      <w:r>
        <w:br/>
      </w:r>
      <w:r>
        <w:br/>
        <w:t>2. NEECA encourages the use of lean, cost</w:t>
      </w:r>
      <w:r>
        <w:t>-effective, and inclusive approaches to message testing. Proposals that prioritize smart sampling over large-scale reach, creative insight over polished production, and digital-first tools suited to local contexts will be particularly valued. Firms are inv</w:t>
      </w:r>
      <w:r>
        <w:t xml:space="preserve">ited to suggest innovative and low-cost methods such as social media polling, online A/B testing, mobile-based surveys (including </w:t>
      </w:r>
      <w:proofErr w:type="spellStart"/>
      <w:r>
        <w:t>WhatsApp</w:t>
      </w:r>
      <w:proofErr w:type="spellEnd"/>
      <w:r>
        <w:t>, SMS, or IVR), and platform engagement analysis. Partnerships with local organizations or community networks that ena</w:t>
      </w:r>
      <w:r>
        <w:t>ble access to women, rural populations, and lower-literacy groups are strongly encouraged to ensure meaningful representation and reduce reliance on large field teams. All message variants should be developed and tested in both English and Urdu, with speci</w:t>
      </w:r>
      <w:r>
        <w:t>al attention to language accessibility for low-literacy and rural audiences.</w:t>
      </w:r>
      <w:r>
        <w:br/>
      </w:r>
      <w:r>
        <w:br/>
        <w:t>3. Upon approval of the methodology and content by NEECA, the firm shall roll out the testing phase and ensure sufficient data is collected from at least 500 participants. Sampli</w:t>
      </w:r>
      <w:r>
        <w:t>ng strategies should aim to reduce urban, literacy, and gender biases and ensure inclusivity across Pakistan’s diverse population.</w:t>
      </w:r>
      <w:r>
        <w:br/>
      </w:r>
      <w:r>
        <w:br/>
        <w:t>4. The firm shall analyze the results and provide segment-wise breakdowns of message performance, supported by statistical a</w:t>
      </w:r>
      <w:r>
        <w:t>nd qualitative insights. A final report must include recommendations for framing, content design, and platform selection for different audience segments.</w:t>
      </w:r>
      <w:r>
        <w:br/>
      </w:r>
      <w:r>
        <w:br/>
        <w:t>5. Transfer of Data and Materials: All raw data, message variants, engagement analytics, and associat</w:t>
      </w:r>
      <w:r>
        <w:t>ed creative assets must be handed over to NEECA in editable formats for institutional use.</w:t>
      </w:r>
      <w:r>
        <w:br/>
      </w:r>
    </w:p>
    <w:p w:rsidR="00695DC4" w:rsidRDefault="006F5F0B">
      <w:pPr>
        <w:rPr>
          <w:b/>
          <w:u w:val="single"/>
        </w:rPr>
      </w:pPr>
      <w:r>
        <w:rPr>
          <w:b/>
          <w:u w:val="single"/>
        </w:rPr>
        <w:lastRenderedPageBreak/>
        <w:t>5. Duration of Assignment</w:t>
      </w:r>
    </w:p>
    <w:p w:rsidR="00695DC4" w:rsidRDefault="006F5F0B">
      <w:r>
        <w:br/>
      </w:r>
      <w:r>
        <w:t>The duration of the assignment shall be eight (08) weeks from the date of signing of the contract, with the possibility of minor adjustments based on mutual agreement.</w:t>
      </w:r>
      <w:r>
        <w:br/>
      </w:r>
    </w:p>
    <w:p w:rsidR="00695DC4" w:rsidRDefault="006F5F0B">
      <w:pPr>
        <w:rPr>
          <w:b/>
          <w:u w:val="single"/>
        </w:rPr>
      </w:pPr>
      <w:r>
        <w:rPr>
          <w:b/>
          <w:u w:val="single"/>
        </w:rPr>
        <w:t>6. Eligibility Criteria</w:t>
      </w:r>
    </w:p>
    <w:p w:rsidR="00695DC4" w:rsidRDefault="00695DC4">
      <w:pPr>
        <w:rPr>
          <w:b/>
          <w:u w:val="single"/>
        </w:rPr>
      </w:pPr>
    </w:p>
    <w:p w:rsidR="00695DC4" w:rsidRDefault="006F5F0B">
      <w:r>
        <w:t>Firms applying for this assignment must meet the following cri</w:t>
      </w:r>
      <w:r>
        <w:t>teria:</w:t>
      </w:r>
    </w:p>
    <w:p w:rsidR="00695DC4" w:rsidRDefault="00695DC4"/>
    <w:p w:rsidR="00695DC4" w:rsidRDefault="006F5F0B">
      <w:pPr>
        <w:numPr>
          <w:ilvl w:val="0"/>
          <w:numId w:val="3"/>
        </w:numPr>
      </w:pPr>
      <w:r>
        <w:t>Be legally registered in Pakistan and possess valid NTN and Sales Tax registration certificates.</w:t>
      </w:r>
    </w:p>
    <w:p w:rsidR="00695DC4" w:rsidRDefault="006F5F0B">
      <w:pPr>
        <w:numPr>
          <w:ilvl w:val="0"/>
          <w:numId w:val="3"/>
        </w:numPr>
      </w:pPr>
      <w:r>
        <w:t>Have a minimum of five (5) years of demonstrable experience in communications, public engagement, audience research, or behavioral insights, preferably</w:t>
      </w:r>
      <w:r>
        <w:t xml:space="preserve"> within the energy, climate, development, or public policy sectors.</w:t>
      </w:r>
    </w:p>
    <w:p w:rsidR="00695DC4" w:rsidRDefault="006F5F0B">
      <w:pPr>
        <w:numPr>
          <w:ilvl w:val="0"/>
          <w:numId w:val="3"/>
        </w:numPr>
      </w:pPr>
      <w:r>
        <w:t>Have technical capability and previous experience conducting digital or low-cost message testing, A/B testing, polling, or behavioral experiments.</w:t>
      </w:r>
    </w:p>
    <w:p w:rsidR="00695DC4" w:rsidRDefault="006F5F0B">
      <w:pPr>
        <w:numPr>
          <w:ilvl w:val="0"/>
          <w:numId w:val="3"/>
        </w:numPr>
      </w:pPr>
      <w:r>
        <w:t>Have qualified personnel with relevant ex</w:t>
      </w:r>
      <w:r>
        <w:t>pertise in communications strategy, digital media analytics, design, and research.</w:t>
      </w:r>
    </w:p>
    <w:p w:rsidR="00695DC4" w:rsidRDefault="006F5F0B">
      <w:pPr>
        <w:numPr>
          <w:ilvl w:val="0"/>
          <w:numId w:val="3"/>
        </w:numPr>
      </w:pPr>
      <w:r>
        <w:t>Demonstrated experience working with government entities, development partners, or non-profit institutions will be considered an asset.</w:t>
      </w:r>
      <w:r>
        <w:br/>
      </w:r>
    </w:p>
    <w:p w:rsidR="00695DC4" w:rsidRDefault="006F5F0B">
      <w:pPr>
        <w:rPr>
          <w:b/>
          <w:u w:val="single"/>
        </w:rPr>
      </w:pPr>
      <w:r>
        <w:rPr>
          <w:b/>
          <w:u w:val="single"/>
        </w:rPr>
        <w:t>7. Submission Requirements</w:t>
      </w:r>
    </w:p>
    <w:p w:rsidR="00695DC4" w:rsidRDefault="00695DC4">
      <w:pPr>
        <w:rPr>
          <w:b/>
          <w:u w:val="single"/>
        </w:rPr>
      </w:pPr>
    </w:p>
    <w:p w:rsidR="00695DC4" w:rsidRDefault="006F5F0B">
      <w:r>
        <w:t>Interest</w:t>
      </w:r>
      <w:r>
        <w:t>ed firms are required to submit a technical and financial proposal in separate sealed envelopes clearly marked as “Technical Proposal” and “Financial Proposal.” Proposals should include the following:</w:t>
      </w:r>
      <w:r>
        <w:br/>
      </w:r>
    </w:p>
    <w:tbl>
      <w:tblPr>
        <w:tblStyle w:val="a"/>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95DC4">
        <w:tc>
          <w:tcPr>
            <w:tcW w:w="4680" w:type="dxa"/>
            <w:shd w:val="clear" w:color="auto" w:fill="auto"/>
            <w:tcMar>
              <w:top w:w="100" w:type="dxa"/>
              <w:left w:w="100" w:type="dxa"/>
              <w:bottom w:w="100" w:type="dxa"/>
              <w:right w:w="100" w:type="dxa"/>
            </w:tcMar>
          </w:tcPr>
          <w:p w:rsidR="00695DC4" w:rsidRDefault="006F5F0B">
            <w:r>
              <w:t xml:space="preserve"> Technical Proposal:</w:t>
            </w:r>
          </w:p>
        </w:tc>
        <w:tc>
          <w:tcPr>
            <w:tcW w:w="4680" w:type="dxa"/>
            <w:shd w:val="clear" w:color="auto" w:fill="auto"/>
            <w:tcMar>
              <w:top w:w="100" w:type="dxa"/>
              <w:left w:w="100" w:type="dxa"/>
              <w:bottom w:w="100" w:type="dxa"/>
              <w:right w:w="100" w:type="dxa"/>
            </w:tcMar>
          </w:tcPr>
          <w:p w:rsidR="00695DC4" w:rsidRDefault="006F5F0B">
            <w:r>
              <w:t>Financial Proposal:</w:t>
            </w:r>
          </w:p>
        </w:tc>
      </w:tr>
      <w:tr w:rsidR="00695DC4">
        <w:tc>
          <w:tcPr>
            <w:tcW w:w="4680" w:type="dxa"/>
            <w:shd w:val="clear" w:color="auto" w:fill="auto"/>
            <w:tcMar>
              <w:top w:w="100" w:type="dxa"/>
              <w:left w:w="100" w:type="dxa"/>
              <w:bottom w:w="100" w:type="dxa"/>
              <w:right w:w="100" w:type="dxa"/>
            </w:tcMar>
          </w:tcPr>
          <w:p w:rsidR="00695DC4" w:rsidRDefault="006F5F0B">
            <w:pPr>
              <w:numPr>
                <w:ilvl w:val="0"/>
                <w:numId w:val="6"/>
              </w:numPr>
            </w:pPr>
            <w:r>
              <w:t>Company profile and evidence of relevant experience</w:t>
            </w:r>
            <w:r>
              <w:br/>
              <w:t>Understanding of the assignment and proposed methodology</w:t>
            </w:r>
          </w:p>
          <w:p w:rsidR="00695DC4" w:rsidRDefault="006F5F0B">
            <w:pPr>
              <w:numPr>
                <w:ilvl w:val="0"/>
                <w:numId w:val="6"/>
              </w:numPr>
            </w:pPr>
            <w:r>
              <w:t>Work plan with timeline and deliverables</w:t>
            </w:r>
          </w:p>
          <w:p w:rsidR="00695DC4" w:rsidRDefault="006F5F0B">
            <w:pPr>
              <w:numPr>
                <w:ilvl w:val="0"/>
                <w:numId w:val="6"/>
              </w:numPr>
            </w:pPr>
            <w:r>
              <w:t>CVs of key team members</w:t>
            </w:r>
          </w:p>
          <w:p w:rsidR="00695DC4" w:rsidRDefault="006F5F0B">
            <w:pPr>
              <w:numPr>
                <w:ilvl w:val="0"/>
                <w:numId w:val="6"/>
              </w:numPr>
            </w:pPr>
            <w:r>
              <w:t>At least two samples of similar work completed in the last 3 years</w:t>
            </w:r>
          </w:p>
        </w:tc>
        <w:tc>
          <w:tcPr>
            <w:tcW w:w="4680" w:type="dxa"/>
            <w:shd w:val="clear" w:color="auto" w:fill="auto"/>
            <w:tcMar>
              <w:top w:w="100" w:type="dxa"/>
              <w:left w:w="100" w:type="dxa"/>
              <w:bottom w:w="100" w:type="dxa"/>
              <w:right w:w="100" w:type="dxa"/>
            </w:tcMar>
          </w:tcPr>
          <w:p w:rsidR="00695DC4" w:rsidRDefault="006F5F0B">
            <w:pPr>
              <w:numPr>
                <w:ilvl w:val="0"/>
                <w:numId w:val="5"/>
              </w:numPr>
            </w:pPr>
            <w:r>
              <w:t>Detailed, itemi</w:t>
            </w:r>
            <w:r>
              <w:t>zed cost breakdown</w:t>
            </w:r>
          </w:p>
          <w:p w:rsidR="00695DC4" w:rsidRDefault="006F5F0B">
            <w:pPr>
              <w:numPr>
                <w:ilvl w:val="0"/>
                <w:numId w:val="5"/>
              </w:numPr>
            </w:pPr>
            <w:r>
              <w:t>Inclusive of all applicable government taxes</w:t>
            </w:r>
          </w:p>
          <w:p w:rsidR="00695DC4" w:rsidRDefault="006F5F0B">
            <w:pPr>
              <w:numPr>
                <w:ilvl w:val="0"/>
                <w:numId w:val="5"/>
              </w:numPr>
            </w:pPr>
            <w:r>
              <w:t>Total contract value in Pakistani Rupees (PKR)</w:t>
            </w:r>
          </w:p>
        </w:tc>
      </w:tr>
    </w:tbl>
    <w:p w:rsidR="00695DC4" w:rsidRDefault="006F5F0B">
      <w:r>
        <w:br/>
        <w:t>All proposals must be written in English and submitted in hard copy. Soft copies may be requested for verification purposes.</w:t>
      </w:r>
      <w:r>
        <w:br/>
      </w:r>
    </w:p>
    <w:p w:rsidR="00695DC4" w:rsidRDefault="006F5F0B">
      <w:pPr>
        <w:rPr>
          <w:b/>
          <w:u w:val="single"/>
        </w:rPr>
      </w:pPr>
      <w:r>
        <w:rPr>
          <w:b/>
          <w:u w:val="single"/>
        </w:rPr>
        <w:t>8. Evaluation Cri</w:t>
      </w:r>
      <w:r>
        <w:rPr>
          <w:b/>
          <w:u w:val="single"/>
        </w:rPr>
        <w:t>teria</w:t>
      </w:r>
    </w:p>
    <w:p w:rsidR="00695DC4" w:rsidRDefault="006F5F0B">
      <w:r>
        <w:lastRenderedPageBreak/>
        <w:br/>
        <w:t xml:space="preserve">The selection will be carried out using the Quality and Cost-Based Selection (QCBS) method in accordance with the Public Procurement Rules 2004. </w:t>
      </w:r>
      <w:r>
        <w:br/>
      </w:r>
    </w:p>
    <w:p w:rsidR="00695DC4" w:rsidRDefault="006F5F0B">
      <w:r>
        <w:t>Technical Proposal: 80%</w:t>
      </w:r>
      <w:r>
        <w:br/>
        <w:t>Financial Proposal: 20%</w:t>
      </w:r>
      <w:r>
        <w:br/>
      </w:r>
      <w:r>
        <w:br/>
      </w:r>
      <w:proofErr w:type="gramStart"/>
      <w:r>
        <w:t>To</w:t>
      </w:r>
      <w:proofErr w:type="gramEnd"/>
      <w:r>
        <w:t xml:space="preserve"> ensure transparency and consistency in the evaluat</w:t>
      </w:r>
      <w:r>
        <w:t>ion process, each criterion will be assessed based on the parameters outlined below. Only those firms scoring at least 60 marks out of 80 in the technical evaluation will be eligible for financial proposal opening.</w:t>
      </w:r>
    </w:p>
    <w:p w:rsidR="00695DC4" w:rsidRDefault="00695DC4"/>
    <w:tbl>
      <w:tblPr>
        <w:tblStyle w:val="a0"/>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95DC4">
        <w:tc>
          <w:tcPr>
            <w:tcW w:w="4680" w:type="dxa"/>
            <w:shd w:val="clear" w:color="auto" w:fill="auto"/>
            <w:tcMar>
              <w:top w:w="100" w:type="dxa"/>
              <w:left w:w="100" w:type="dxa"/>
              <w:bottom w:w="100" w:type="dxa"/>
              <w:right w:w="100" w:type="dxa"/>
            </w:tcMar>
          </w:tcPr>
          <w:p w:rsidR="00695DC4" w:rsidRDefault="006F5F0B">
            <w:r>
              <w:t xml:space="preserve">Technical Evaluation Criteria </w:t>
            </w:r>
          </w:p>
        </w:tc>
        <w:tc>
          <w:tcPr>
            <w:tcW w:w="4680" w:type="dxa"/>
            <w:shd w:val="clear" w:color="auto" w:fill="auto"/>
            <w:tcMar>
              <w:top w:w="100" w:type="dxa"/>
              <w:left w:w="100" w:type="dxa"/>
              <w:bottom w:w="100" w:type="dxa"/>
              <w:right w:w="100" w:type="dxa"/>
            </w:tcMar>
          </w:tcPr>
          <w:p w:rsidR="00695DC4" w:rsidRDefault="006F5F0B">
            <w:r>
              <w:t>Maximum M</w:t>
            </w:r>
            <w:r>
              <w:t>arks</w:t>
            </w:r>
          </w:p>
        </w:tc>
      </w:tr>
      <w:tr w:rsidR="00695DC4">
        <w:tc>
          <w:tcPr>
            <w:tcW w:w="4680" w:type="dxa"/>
            <w:shd w:val="clear" w:color="auto" w:fill="auto"/>
            <w:tcMar>
              <w:top w:w="100" w:type="dxa"/>
              <w:left w:w="100" w:type="dxa"/>
              <w:bottom w:w="100" w:type="dxa"/>
              <w:right w:w="100" w:type="dxa"/>
            </w:tcMar>
          </w:tcPr>
          <w:p w:rsidR="00695DC4" w:rsidRDefault="006F5F0B">
            <w:pPr>
              <w:rPr>
                <w:b/>
              </w:rPr>
            </w:pPr>
            <w:r>
              <w:rPr>
                <w:b/>
              </w:rPr>
              <w:t>Understanding of Assignment &amp; Methodology</w:t>
            </w:r>
          </w:p>
          <w:p w:rsidR="00695DC4" w:rsidRDefault="00695DC4"/>
          <w:p w:rsidR="00695DC4" w:rsidRDefault="006F5F0B">
            <w:r>
              <w:t>Clarity of problem understanding; Appropriateness of proposed methodology; Innovation and feasibility of approach; Sampling strategy and inclusivity plan; consideration of linguistic accessibility and message adaptation for Urdu-speaking and low-literacy a</w:t>
            </w:r>
            <w:r>
              <w:t>udiences.</w:t>
            </w:r>
          </w:p>
        </w:tc>
        <w:tc>
          <w:tcPr>
            <w:tcW w:w="4680" w:type="dxa"/>
            <w:shd w:val="clear" w:color="auto" w:fill="auto"/>
            <w:tcMar>
              <w:top w:w="100" w:type="dxa"/>
              <w:left w:w="100" w:type="dxa"/>
              <w:bottom w:w="100" w:type="dxa"/>
              <w:right w:w="100" w:type="dxa"/>
            </w:tcMar>
          </w:tcPr>
          <w:p w:rsidR="00695DC4" w:rsidRDefault="006F5F0B">
            <w:r>
              <w:t>30</w:t>
            </w:r>
          </w:p>
        </w:tc>
      </w:tr>
      <w:tr w:rsidR="00695DC4">
        <w:trPr>
          <w:trHeight w:val="2291"/>
        </w:trPr>
        <w:tc>
          <w:tcPr>
            <w:tcW w:w="4680" w:type="dxa"/>
            <w:shd w:val="clear" w:color="auto" w:fill="auto"/>
            <w:tcMar>
              <w:top w:w="100" w:type="dxa"/>
              <w:left w:w="100" w:type="dxa"/>
              <w:bottom w:w="100" w:type="dxa"/>
              <w:right w:w="100" w:type="dxa"/>
            </w:tcMar>
          </w:tcPr>
          <w:p w:rsidR="00695DC4" w:rsidRDefault="006F5F0B">
            <w:pPr>
              <w:rPr>
                <w:b/>
              </w:rPr>
            </w:pPr>
            <w:r>
              <w:rPr>
                <w:b/>
              </w:rPr>
              <w:t>Relevant Experience of the Firm</w:t>
            </w:r>
          </w:p>
          <w:tbl>
            <w:tblPr>
              <w:tblStyle w:val="a1"/>
              <w:tblW w:w="44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tblGrid>
            <w:tr w:rsidR="00695DC4">
              <w:trPr>
                <w:trHeight w:val="1520"/>
              </w:trPr>
              <w:tc>
                <w:tcPr>
                  <w:tcW w:w="4470" w:type="dxa"/>
                  <w:tcBorders>
                    <w:top w:val="nil"/>
                    <w:left w:val="nil"/>
                    <w:bottom w:val="nil"/>
                    <w:right w:val="nil"/>
                  </w:tcBorders>
                  <w:tcMar>
                    <w:top w:w="100" w:type="dxa"/>
                    <w:left w:w="100" w:type="dxa"/>
                    <w:bottom w:w="100" w:type="dxa"/>
                    <w:right w:w="100" w:type="dxa"/>
                  </w:tcMar>
                </w:tcPr>
                <w:p w:rsidR="00695DC4" w:rsidRDefault="006F5F0B">
                  <w:r>
                    <w:t>Similar assignments completed in the past 5 years; Experience with behavior change or communication research; Experience in energy, climate, or public policy sectors; Experience working with government or donor</w:t>
                  </w:r>
                  <w:r>
                    <w:t xml:space="preserve"> projects</w:t>
                  </w:r>
                </w:p>
              </w:tc>
            </w:tr>
          </w:tbl>
          <w:p w:rsidR="00695DC4" w:rsidRDefault="00695DC4"/>
        </w:tc>
        <w:tc>
          <w:tcPr>
            <w:tcW w:w="4680" w:type="dxa"/>
            <w:shd w:val="clear" w:color="auto" w:fill="auto"/>
            <w:tcMar>
              <w:top w:w="100" w:type="dxa"/>
              <w:left w:w="100" w:type="dxa"/>
              <w:bottom w:w="100" w:type="dxa"/>
              <w:right w:w="100" w:type="dxa"/>
            </w:tcMar>
          </w:tcPr>
          <w:p w:rsidR="00695DC4" w:rsidRDefault="006F5F0B">
            <w:pPr>
              <w:widowControl w:val="0"/>
              <w:pBdr>
                <w:top w:val="nil"/>
                <w:left w:val="nil"/>
                <w:bottom w:val="nil"/>
                <w:right w:val="nil"/>
                <w:between w:val="nil"/>
              </w:pBdr>
              <w:spacing w:line="240" w:lineRule="auto"/>
            </w:pPr>
            <w:r>
              <w:t>20</w:t>
            </w:r>
          </w:p>
        </w:tc>
      </w:tr>
      <w:tr w:rsidR="00695DC4">
        <w:tc>
          <w:tcPr>
            <w:tcW w:w="4680" w:type="dxa"/>
            <w:shd w:val="clear" w:color="auto" w:fill="auto"/>
            <w:tcMar>
              <w:top w:w="100" w:type="dxa"/>
              <w:left w:w="100" w:type="dxa"/>
              <w:bottom w:w="100" w:type="dxa"/>
              <w:right w:w="100" w:type="dxa"/>
            </w:tcMar>
          </w:tcPr>
          <w:p w:rsidR="00695DC4" w:rsidRDefault="006F5F0B">
            <w:pPr>
              <w:rPr>
                <w:b/>
              </w:rPr>
            </w:pPr>
            <w:r>
              <w:rPr>
                <w:b/>
              </w:rPr>
              <w:t>Qualification and Experience of Team</w:t>
            </w:r>
          </w:p>
          <w:tbl>
            <w:tblPr>
              <w:tblStyle w:val="a2"/>
              <w:tblW w:w="44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tblGrid>
            <w:tr w:rsidR="00695DC4">
              <w:trPr>
                <w:trHeight w:val="675"/>
              </w:trPr>
              <w:tc>
                <w:tcPr>
                  <w:tcW w:w="4470" w:type="dxa"/>
                  <w:tcBorders>
                    <w:top w:val="nil"/>
                    <w:left w:val="nil"/>
                    <w:bottom w:val="nil"/>
                    <w:right w:val="nil"/>
                  </w:tcBorders>
                  <w:tcMar>
                    <w:top w:w="100" w:type="dxa"/>
                    <w:left w:w="100" w:type="dxa"/>
                    <w:bottom w:w="100" w:type="dxa"/>
                    <w:right w:w="100" w:type="dxa"/>
                  </w:tcMar>
                </w:tcPr>
                <w:p w:rsidR="00695DC4" w:rsidRDefault="006F5F0B">
                  <w:r>
                    <w:t>Assessment will be based on the quality and relevance of proposed team members' experience in designing and implementing message testing, behavior change communication, audience research, or creative public outreach. Emphasis will be placed on prior work t</w:t>
                  </w:r>
                  <w:r>
                    <w:t xml:space="preserve">hat demonstrates an understanding of how to test, refine, and adapt messages for different audiences. </w:t>
                  </w:r>
                  <w:r>
                    <w:lastRenderedPageBreak/>
                    <w:t>Formal qualifications will be considered, but demonstrated experience will carry more weight than years of service alone.</w:t>
                  </w:r>
                </w:p>
              </w:tc>
            </w:tr>
          </w:tbl>
          <w:p w:rsidR="00695DC4" w:rsidRDefault="00695DC4"/>
        </w:tc>
        <w:tc>
          <w:tcPr>
            <w:tcW w:w="4680" w:type="dxa"/>
            <w:shd w:val="clear" w:color="auto" w:fill="auto"/>
            <w:tcMar>
              <w:top w:w="100" w:type="dxa"/>
              <w:left w:w="100" w:type="dxa"/>
              <w:bottom w:w="100" w:type="dxa"/>
              <w:right w:w="100" w:type="dxa"/>
            </w:tcMar>
          </w:tcPr>
          <w:p w:rsidR="00695DC4" w:rsidRDefault="006F5F0B">
            <w:pPr>
              <w:widowControl w:val="0"/>
              <w:pBdr>
                <w:top w:val="nil"/>
                <w:left w:val="nil"/>
                <w:bottom w:val="nil"/>
                <w:right w:val="nil"/>
                <w:between w:val="nil"/>
              </w:pBdr>
              <w:spacing w:line="240" w:lineRule="auto"/>
            </w:pPr>
            <w:r>
              <w:lastRenderedPageBreak/>
              <w:t>15</w:t>
            </w:r>
          </w:p>
        </w:tc>
      </w:tr>
      <w:tr w:rsidR="00695DC4">
        <w:tc>
          <w:tcPr>
            <w:tcW w:w="4680" w:type="dxa"/>
            <w:shd w:val="clear" w:color="auto" w:fill="auto"/>
            <w:tcMar>
              <w:top w:w="100" w:type="dxa"/>
              <w:left w:w="100" w:type="dxa"/>
              <w:bottom w:w="100" w:type="dxa"/>
              <w:right w:w="100" w:type="dxa"/>
            </w:tcMar>
          </w:tcPr>
          <w:p w:rsidR="00695DC4" w:rsidRDefault="006F5F0B">
            <w:pPr>
              <w:rPr>
                <w:b/>
              </w:rPr>
            </w:pPr>
            <w:r>
              <w:rPr>
                <w:b/>
              </w:rPr>
              <w:lastRenderedPageBreak/>
              <w:t>Creativity and Innovation in Approach</w:t>
            </w:r>
          </w:p>
          <w:tbl>
            <w:tblPr>
              <w:tblStyle w:val="a3"/>
              <w:tblW w:w="44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tblGrid>
            <w:tr w:rsidR="00695DC4">
              <w:trPr>
                <w:trHeight w:val="1110"/>
              </w:trPr>
              <w:tc>
                <w:tcPr>
                  <w:tcW w:w="4470" w:type="dxa"/>
                  <w:tcBorders>
                    <w:top w:val="nil"/>
                    <w:left w:val="nil"/>
                    <w:bottom w:val="nil"/>
                    <w:right w:val="nil"/>
                  </w:tcBorders>
                  <w:tcMar>
                    <w:top w:w="100" w:type="dxa"/>
                    <w:left w:w="100" w:type="dxa"/>
                    <w:bottom w:w="100" w:type="dxa"/>
                    <w:right w:w="100" w:type="dxa"/>
                  </w:tcMar>
                </w:tcPr>
                <w:p w:rsidR="00695DC4" w:rsidRDefault="006F5F0B">
                  <w:r>
                    <w:t>Use of digital tools; Inclusivity in message testing formats; Innovative outreach methods for low-literacy or hard-to-reach groups</w:t>
                  </w:r>
                </w:p>
              </w:tc>
            </w:tr>
          </w:tbl>
          <w:p w:rsidR="00695DC4" w:rsidRDefault="00695DC4"/>
        </w:tc>
        <w:tc>
          <w:tcPr>
            <w:tcW w:w="4680" w:type="dxa"/>
            <w:shd w:val="clear" w:color="auto" w:fill="auto"/>
            <w:tcMar>
              <w:top w:w="100" w:type="dxa"/>
              <w:left w:w="100" w:type="dxa"/>
              <w:bottom w:w="100" w:type="dxa"/>
              <w:right w:w="100" w:type="dxa"/>
            </w:tcMar>
          </w:tcPr>
          <w:p w:rsidR="00695DC4" w:rsidRDefault="006F5F0B">
            <w:pPr>
              <w:widowControl w:val="0"/>
              <w:pBdr>
                <w:top w:val="nil"/>
                <w:left w:val="nil"/>
                <w:bottom w:val="nil"/>
                <w:right w:val="nil"/>
                <w:between w:val="nil"/>
              </w:pBdr>
              <w:spacing w:line="240" w:lineRule="auto"/>
            </w:pPr>
            <w:r>
              <w:t>15</w:t>
            </w:r>
          </w:p>
        </w:tc>
      </w:tr>
      <w:tr w:rsidR="00695DC4">
        <w:tc>
          <w:tcPr>
            <w:tcW w:w="4680" w:type="dxa"/>
            <w:shd w:val="clear" w:color="auto" w:fill="auto"/>
            <w:tcMar>
              <w:top w:w="100" w:type="dxa"/>
              <w:left w:w="100" w:type="dxa"/>
              <w:bottom w:w="100" w:type="dxa"/>
              <w:right w:w="100" w:type="dxa"/>
            </w:tcMar>
          </w:tcPr>
          <w:p w:rsidR="00695DC4" w:rsidRDefault="006F5F0B">
            <w:r>
              <w:t>Total</w:t>
            </w:r>
          </w:p>
        </w:tc>
        <w:tc>
          <w:tcPr>
            <w:tcW w:w="4680" w:type="dxa"/>
            <w:shd w:val="clear" w:color="auto" w:fill="auto"/>
            <w:tcMar>
              <w:top w:w="100" w:type="dxa"/>
              <w:left w:w="100" w:type="dxa"/>
              <w:bottom w:w="100" w:type="dxa"/>
              <w:right w:w="100" w:type="dxa"/>
            </w:tcMar>
          </w:tcPr>
          <w:p w:rsidR="00695DC4" w:rsidRDefault="006F5F0B">
            <w:pPr>
              <w:widowControl w:val="0"/>
              <w:pBdr>
                <w:top w:val="nil"/>
                <w:left w:val="nil"/>
                <w:bottom w:val="nil"/>
                <w:right w:val="nil"/>
                <w:between w:val="nil"/>
              </w:pBdr>
              <w:spacing w:line="240" w:lineRule="auto"/>
            </w:pPr>
            <w:r>
              <w:t>80</w:t>
            </w:r>
          </w:p>
        </w:tc>
      </w:tr>
    </w:tbl>
    <w:p w:rsidR="00695DC4" w:rsidRDefault="00695DC4"/>
    <w:p w:rsidR="00695DC4" w:rsidRDefault="006F5F0B">
      <w:pPr>
        <w:rPr>
          <w:b/>
          <w:u w:val="single"/>
        </w:rPr>
      </w:pPr>
      <w:r>
        <w:rPr>
          <w:b/>
          <w:u w:val="single"/>
        </w:rPr>
        <w:t>9. Deadline for Submission</w:t>
      </w:r>
    </w:p>
    <w:p w:rsidR="00695DC4" w:rsidRDefault="006F5F0B">
      <w:r>
        <w:br/>
      </w:r>
      <w:r>
        <w:t>Sealed proposals must be delivered to the address below no later than 12</w:t>
      </w:r>
      <w:r w:rsidRPr="006F5F0B">
        <w:rPr>
          <w:vertAlign w:val="superscript"/>
        </w:rPr>
        <w:t>th</w:t>
      </w:r>
      <w:bookmarkStart w:id="0" w:name="_GoBack"/>
      <w:bookmarkEnd w:id="0"/>
      <w:r>
        <w:t xml:space="preserve"> November, 2025 </w:t>
      </w:r>
      <w:r>
        <w:t>at 11 AM</w:t>
      </w:r>
      <w:proofErr w:type="gramStart"/>
      <w:r>
        <w:t>:</w:t>
      </w:r>
      <w:proofErr w:type="gramEnd"/>
      <w:r>
        <w:br/>
      </w:r>
      <w:r>
        <w:br/>
        <w:t>Director Admin</w:t>
      </w:r>
      <w:r>
        <w:br/>
        <w:t>National Energy Efficiency &amp; Conservation Authority (NEECA)</w:t>
      </w:r>
    </w:p>
    <w:p w:rsidR="00695DC4" w:rsidRDefault="006F5F0B">
      <w:r>
        <w:t>Ministry of Energy (Power Division)</w:t>
      </w:r>
      <w:r>
        <w:br/>
      </w:r>
    </w:p>
    <w:p w:rsidR="00695DC4" w:rsidRDefault="006F5F0B">
      <w:r>
        <w:rPr>
          <w:color w:val="001D35"/>
          <w:highlight w:val="white"/>
        </w:rPr>
        <w:t>NEECA Building, G-5/2, Islamabad, Pakistan</w:t>
      </w:r>
      <w:r>
        <w:br/>
      </w:r>
      <w:r>
        <w:rPr>
          <w:color w:val="001D35"/>
          <w:highlight w:val="white"/>
        </w:rPr>
        <w:t>051-920902</w:t>
      </w:r>
      <w:r>
        <w:rPr>
          <w:color w:val="001D35"/>
          <w:highlight w:val="white"/>
        </w:rPr>
        <w:t>6 | info@neeca.gov.pk</w:t>
      </w:r>
      <w:r>
        <w:br/>
      </w:r>
      <w:r>
        <w:br/>
        <w:t>NEECA reserves the right to reject any or all proposals without assigning any reason and to annul the bidding process at any stage in accordance with Rule 33 of the PPRA Rules, 2004.</w:t>
      </w:r>
      <w:r>
        <w:br/>
      </w:r>
      <w:r>
        <w:br/>
      </w:r>
    </w:p>
    <w:p w:rsidR="00695DC4" w:rsidRDefault="00695DC4">
      <w:pPr>
        <w:rPr>
          <w:sz w:val="24"/>
          <w:szCs w:val="24"/>
        </w:rPr>
      </w:pPr>
    </w:p>
    <w:sectPr w:rsidR="00695D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0455"/>
    <w:multiLevelType w:val="multilevel"/>
    <w:tmpl w:val="E50C7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A75C70"/>
    <w:multiLevelType w:val="multilevel"/>
    <w:tmpl w:val="F1FAB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801472C"/>
    <w:multiLevelType w:val="multilevel"/>
    <w:tmpl w:val="4B686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7F42C18"/>
    <w:multiLevelType w:val="multilevel"/>
    <w:tmpl w:val="BDFE3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85E08C2"/>
    <w:multiLevelType w:val="multilevel"/>
    <w:tmpl w:val="6EE01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4993F36"/>
    <w:multiLevelType w:val="multilevel"/>
    <w:tmpl w:val="72C0A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1547E76"/>
    <w:multiLevelType w:val="multilevel"/>
    <w:tmpl w:val="9BA6C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C4"/>
    <w:rsid w:val="00695DC4"/>
    <w:rsid w:val="006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7B7F3-0A72-4BE5-BB90-841971BE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2076</Words>
  <Characters>11836</Characters>
  <Application>Microsoft Office Word</Application>
  <DocSecurity>0</DocSecurity>
  <Lines>98</Lines>
  <Paragraphs>27</Paragraphs>
  <ScaleCrop>false</ScaleCrop>
  <Company>HP Inc.</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NEECA</cp:lastModifiedBy>
  <cp:revision>2</cp:revision>
  <dcterms:created xsi:type="dcterms:W3CDTF">2025-11-04T09:24:00Z</dcterms:created>
  <dcterms:modified xsi:type="dcterms:W3CDTF">2025-11-04T09:25:00Z</dcterms:modified>
</cp:coreProperties>
</file>